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/>
          <w:sz w:val="44"/>
          <w:szCs w:val="44"/>
        </w:rPr>
        <w:t>年度机关规范化建设</w:t>
      </w:r>
      <w:r>
        <w:rPr>
          <w:rFonts w:hint="eastAsia" w:ascii="方正小标宋简体" w:eastAsia="方正小标宋简体"/>
          <w:sz w:val="44"/>
          <w:szCs w:val="44"/>
        </w:rPr>
        <w:t>达标</w:t>
      </w:r>
      <w:r>
        <w:rPr>
          <w:rFonts w:ascii="方正小标宋简体" w:eastAsia="方正小标宋简体"/>
          <w:sz w:val="44"/>
          <w:szCs w:val="44"/>
        </w:rPr>
        <w:t>单位名单</w:t>
      </w:r>
    </w:p>
    <w:bookmarkEnd w:id="0"/>
    <w:p>
      <w:pPr>
        <w:spacing w:line="520" w:lineRule="exact"/>
        <w:jc w:val="center"/>
        <w:rPr>
          <w:rFonts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（共</w:t>
      </w:r>
      <w:r>
        <w:rPr>
          <w:rFonts w:ascii="楷体" w:hAnsi="楷体" w:eastAsia="楷体" w:cs="宋体"/>
          <w:color w:val="000000"/>
          <w:kern w:val="0"/>
          <w:sz w:val="32"/>
          <w:szCs w:val="32"/>
        </w:rPr>
        <w:t>2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0名，按行政区划排序）</w:t>
      </w:r>
    </w:p>
    <w:p>
      <w:pPr>
        <w:widowControl/>
        <w:spacing w:line="2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九三学社天津市委员会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九三学社河北省委员会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九三学社内蒙古自治区委员会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九三学社辽宁省委员会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九三学社吉林省委员会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九三学社黑龙江省委员会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九三学社江苏省委员会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九三学社浙江省委员会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九三学社安徽省委员会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九三学社福建省委员会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九三学社山东省委员会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九三学社湖南省委员会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九三学社广东省委员会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九三学社海南省委员会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九三学社重庆市委员会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九三学社贵州省委员会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九三学社陕西省委员会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九三学社甘肃省委员会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九三学社青海省委员会</w:t>
      </w:r>
    </w:p>
    <w:p>
      <w:pPr>
        <w:widowControl/>
        <w:spacing w:line="520" w:lineRule="exact"/>
        <w:ind w:left="2692" w:leftChars="12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九三学社新疆维吾尔自治区委员会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3E71"/>
    <w:rsid w:val="6A6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创艺简楷体" w:hAnsi="Calibri" w:eastAsia="创艺简楷体" w:cs="创艺简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2022-04-02T01:34:00Z</dcterms:created>
  <dc:creator>胡超</dc:creator>
  <cp:lastModifiedBy>胡超</cp:lastModifiedBy>
  <dcterms:modified xsi:type="dcterms:W3CDTF">2022-04-02T01:35:31Z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